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B80E9" w14:textId="77777777" w:rsidR="00C04BEA" w:rsidRPr="00FB404D" w:rsidRDefault="00C04BEA">
      <w:pPr>
        <w:rPr>
          <w:rFonts w:asciiTheme="majorHAnsi" w:hAnsiTheme="majorHAnsi"/>
        </w:rPr>
      </w:pPr>
    </w:p>
    <w:p w14:paraId="608D3B27" w14:textId="77777777" w:rsidR="00795673" w:rsidRPr="00FB404D" w:rsidRDefault="00795673">
      <w:pPr>
        <w:rPr>
          <w:rFonts w:asciiTheme="majorHAnsi" w:hAnsiTheme="majorHAnsi"/>
        </w:rPr>
      </w:pPr>
    </w:p>
    <w:p w14:paraId="25233AD2" w14:textId="77777777" w:rsidR="00795673" w:rsidRPr="00FB404D" w:rsidRDefault="00795673">
      <w:pPr>
        <w:rPr>
          <w:rFonts w:asciiTheme="majorHAnsi" w:hAnsiTheme="majorHAnsi"/>
        </w:rPr>
      </w:pPr>
    </w:p>
    <w:p w14:paraId="53945ECF" w14:textId="77777777" w:rsidR="00795673" w:rsidRPr="00FB404D" w:rsidRDefault="00795673">
      <w:pPr>
        <w:rPr>
          <w:rFonts w:asciiTheme="majorHAnsi" w:hAnsiTheme="majorHAnsi"/>
        </w:rPr>
      </w:pPr>
    </w:p>
    <w:p w14:paraId="7E0600D7" w14:textId="77777777" w:rsidR="00795673" w:rsidRPr="00FB404D" w:rsidRDefault="00795673">
      <w:pPr>
        <w:rPr>
          <w:rFonts w:asciiTheme="majorHAnsi" w:hAnsiTheme="majorHAnsi"/>
        </w:rPr>
      </w:pPr>
    </w:p>
    <w:p w14:paraId="475B298C" w14:textId="77777777" w:rsidR="00795673" w:rsidRPr="00FB404D" w:rsidRDefault="00795673">
      <w:pPr>
        <w:rPr>
          <w:rFonts w:asciiTheme="majorHAnsi" w:hAnsiTheme="majorHAnsi"/>
        </w:rPr>
      </w:pPr>
    </w:p>
    <w:p w14:paraId="0F55BA00" w14:textId="77777777" w:rsidR="00795673" w:rsidRPr="00FB404D" w:rsidRDefault="00795673">
      <w:pPr>
        <w:rPr>
          <w:rFonts w:asciiTheme="majorHAnsi" w:hAnsiTheme="majorHAnsi"/>
        </w:rPr>
      </w:pPr>
    </w:p>
    <w:p w14:paraId="66CD592E" w14:textId="77777777" w:rsidR="00FB404D" w:rsidRPr="00FB404D" w:rsidRDefault="00FB404D">
      <w:pPr>
        <w:rPr>
          <w:rFonts w:asciiTheme="majorHAnsi" w:hAnsiTheme="majorHAnsi"/>
        </w:rPr>
      </w:pPr>
    </w:p>
    <w:p w14:paraId="6EE328FA" w14:textId="77777777" w:rsidR="00FB404D" w:rsidRPr="00FB404D" w:rsidRDefault="00FB404D">
      <w:pPr>
        <w:rPr>
          <w:rFonts w:asciiTheme="majorHAnsi" w:hAnsiTheme="majorHAnsi"/>
        </w:rPr>
      </w:pPr>
    </w:p>
    <w:p w14:paraId="1BA7F4E9" w14:textId="77777777" w:rsidR="00FB404D" w:rsidRPr="00FB404D" w:rsidRDefault="00FB404D">
      <w:pPr>
        <w:rPr>
          <w:rFonts w:asciiTheme="majorHAnsi" w:hAnsiTheme="majorHAnsi"/>
        </w:rPr>
      </w:pPr>
    </w:p>
    <w:p w14:paraId="156B4C50" w14:textId="77777777" w:rsidR="00795673" w:rsidRPr="00FB404D" w:rsidRDefault="00795673">
      <w:pPr>
        <w:rPr>
          <w:rFonts w:asciiTheme="majorHAnsi" w:hAnsiTheme="majorHAnsi"/>
        </w:rPr>
      </w:pPr>
    </w:p>
    <w:p w14:paraId="505B5F58" w14:textId="77777777" w:rsidR="00795673" w:rsidRPr="00FB404D" w:rsidRDefault="00795673">
      <w:pPr>
        <w:rPr>
          <w:rFonts w:asciiTheme="majorHAnsi" w:hAnsiTheme="majorHAnsi"/>
        </w:rPr>
      </w:pPr>
    </w:p>
    <w:p w14:paraId="5C659B58" w14:textId="77777777" w:rsidR="00795673" w:rsidRPr="00FB404D" w:rsidRDefault="00795673">
      <w:pPr>
        <w:rPr>
          <w:rFonts w:asciiTheme="majorHAnsi" w:hAnsiTheme="majorHAnsi"/>
        </w:rPr>
      </w:pPr>
    </w:p>
    <w:p w14:paraId="410559C8" w14:textId="77777777" w:rsidR="00795673" w:rsidRPr="00FB404D" w:rsidRDefault="00795673">
      <w:pPr>
        <w:rPr>
          <w:rFonts w:asciiTheme="majorHAnsi" w:hAnsiTheme="majorHAnsi"/>
        </w:rPr>
      </w:pPr>
    </w:p>
    <w:p w14:paraId="05522D32" w14:textId="77777777" w:rsidR="00795673" w:rsidRPr="00FB404D" w:rsidRDefault="00795673" w:rsidP="00795673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Theme="majorHAnsi" w:hAnsiTheme="majorHAnsi" w:cs="Times"/>
          <w:color w:val="1F3864" w:themeColor="accent1" w:themeShade="80"/>
          <w:sz w:val="44"/>
          <w:szCs w:val="48"/>
        </w:rPr>
      </w:pPr>
      <w:r w:rsidRPr="00FB404D">
        <w:rPr>
          <w:rFonts w:asciiTheme="majorHAnsi" w:hAnsiTheme="majorHAnsi" w:cs="Times"/>
          <w:color w:val="1F3864" w:themeColor="accent1" w:themeShade="80"/>
          <w:sz w:val="44"/>
          <w:szCs w:val="48"/>
        </w:rPr>
        <w:t>Описание процессов, обеспечивающих поддержание жизненных циклов программного обеспечения «Монитор качества».</w:t>
      </w:r>
    </w:p>
    <w:p w14:paraId="3C9C7AFB" w14:textId="77777777" w:rsidR="00795673" w:rsidRPr="00FB404D" w:rsidRDefault="00795673">
      <w:pPr>
        <w:rPr>
          <w:rFonts w:asciiTheme="majorHAnsi" w:hAnsiTheme="majorHAnsi"/>
        </w:rPr>
      </w:pPr>
    </w:p>
    <w:p w14:paraId="5A26C247" w14:textId="77777777" w:rsidR="00FB404D" w:rsidRDefault="00FB404D">
      <w:pPr>
        <w:rPr>
          <w:rFonts w:asciiTheme="majorHAnsi" w:hAnsiTheme="majorHAnsi"/>
        </w:rPr>
      </w:pPr>
    </w:p>
    <w:p w14:paraId="1BF8087E" w14:textId="77777777" w:rsidR="00FB404D" w:rsidRDefault="00FB404D">
      <w:pPr>
        <w:rPr>
          <w:rFonts w:asciiTheme="majorHAnsi" w:hAnsiTheme="majorHAnsi"/>
        </w:rPr>
      </w:pPr>
    </w:p>
    <w:p w14:paraId="156A966E" w14:textId="77777777" w:rsidR="00FB404D" w:rsidRDefault="00FB404D">
      <w:pPr>
        <w:rPr>
          <w:rFonts w:asciiTheme="majorHAnsi" w:hAnsiTheme="majorHAnsi"/>
        </w:rPr>
      </w:pPr>
    </w:p>
    <w:p w14:paraId="3519A678" w14:textId="77777777" w:rsidR="00FB404D" w:rsidRDefault="00FB404D">
      <w:pPr>
        <w:rPr>
          <w:rFonts w:asciiTheme="majorHAnsi" w:hAnsiTheme="majorHAnsi"/>
        </w:rPr>
      </w:pPr>
    </w:p>
    <w:p w14:paraId="34141F63" w14:textId="77777777" w:rsidR="00FB404D" w:rsidRDefault="00FB404D">
      <w:pPr>
        <w:rPr>
          <w:rFonts w:asciiTheme="majorHAnsi" w:hAnsiTheme="majorHAnsi"/>
        </w:rPr>
      </w:pPr>
    </w:p>
    <w:p w14:paraId="0304F1FC" w14:textId="77777777" w:rsidR="00FB404D" w:rsidRDefault="00FB404D">
      <w:pPr>
        <w:rPr>
          <w:rFonts w:asciiTheme="majorHAnsi" w:hAnsiTheme="majorHAnsi"/>
        </w:rPr>
      </w:pPr>
    </w:p>
    <w:p w14:paraId="6FC3FBEE" w14:textId="77777777" w:rsidR="00FB404D" w:rsidRDefault="00FB404D">
      <w:pPr>
        <w:rPr>
          <w:rFonts w:asciiTheme="majorHAnsi" w:hAnsiTheme="majorHAnsi"/>
        </w:rPr>
      </w:pPr>
    </w:p>
    <w:p w14:paraId="4CA4B9D2" w14:textId="77777777" w:rsidR="00FB404D" w:rsidRDefault="00FB404D">
      <w:pPr>
        <w:rPr>
          <w:rFonts w:asciiTheme="majorHAnsi" w:hAnsiTheme="majorHAnsi"/>
        </w:rPr>
      </w:pPr>
    </w:p>
    <w:p w14:paraId="66798E78" w14:textId="77777777" w:rsidR="00FB404D" w:rsidRDefault="00FB404D">
      <w:pPr>
        <w:rPr>
          <w:rFonts w:asciiTheme="majorHAnsi" w:hAnsiTheme="majorHAnsi"/>
        </w:rPr>
      </w:pPr>
    </w:p>
    <w:p w14:paraId="605B81FC" w14:textId="77777777" w:rsidR="00FB404D" w:rsidRDefault="00FB404D">
      <w:pPr>
        <w:rPr>
          <w:rFonts w:asciiTheme="majorHAnsi" w:hAnsiTheme="majorHAnsi"/>
        </w:rPr>
      </w:pPr>
    </w:p>
    <w:p w14:paraId="31968C12" w14:textId="77777777" w:rsidR="00FB404D" w:rsidRDefault="00FB404D">
      <w:pPr>
        <w:rPr>
          <w:rFonts w:asciiTheme="majorHAnsi" w:hAnsiTheme="majorHAnsi"/>
        </w:rPr>
      </w:pPr>
    </w:p>
    <w:p w14:paraId="77885B1D" w14:textId="77777777" w:rsidR="00FB404D" w:rsidRDefault="00FB404D">
      <w:pPr>
        <w:rPr>
          <w:rFonts w:asciiTheme="majorHAnsi" w:hAnsiTheme="majorHAnsi"/>
        </w:rPr>
      </w:pPr>
    </w:p>
    <w:p w14:paraId="451C59CD" w14:textId="77777777" w:rsidR="00FB404D" w:rsidRDefault="00FB404D">
      <w:pPr>
        <w:rPr>
          <w:rFonts w:asciiTheme="majorHAnsi" w:hAnsiTheme="majorHAnsi"/>
        </w:rPr>
      </w:pPr>
    </w:p>
    <w:p w14:paraId="6BADE776" w14:textId="77777777" w:rsidR="00FB404D" w:rsidRDefault="00FB404D">
      <w:pPr>
        <w:rPr>
          <w:rFonts w:asciiTheme="majorHAnsi" w:hAnsiTheme="majorHAnsi"/>
        </w:rPr>
      </w:pPr>
    </w:p>
    <w:p w14:paraId="0995797B" w14:textId="77777777" w:rsidR="00FB404D" w:rsidRDefault="00FB404D">
      <w:pPr>
        <w:rPr>
          <w:rFonts w:asciiTheme="majorHAnsi" w:hAnsiTheme="majorHAnsi"/>
        </w:rPr>
      </w:pPr>
    </w:p>
    <w:p w14:paraId="46620E78" w14:textId="77777777" w:rsidR="00FB404D" w:rsidRDefault="00FB404D">
      <w:pPr>
        <w:rPr>
          <w:rFonts w:asciiTheme="majorHAnsi" w:hAnsiTheme="majorHAnsi"/>
        </w:rPr>
      </w:pPr>
    </w:p>
    <w:p w14:paraId="3AD1E092" w14:textId="77777777" w:rsidR="00FB404D" w:rsidRDefault="00FB404D">
      <w:pPr>
        <w:rPr>
          <w:rFonts w:asciiTheme="majorHAnsi" w:hAnsiTheme="majorHAnsi"/>
        </w:rPr>
      </w:pPr>
    </w:p>
    <w:p w14:paraId="20A105C0" w14:textId="77777777" w:rsidR="00FB404D" w:rsidRDefault="00FB404D">
      <w:pPr>
        <w:rPr>
          <w:rFonts w:asciiTheme="majorHAnsi" w:hAnsiTheme="majorHAnsi"/>
        </w:rPr>
      </w:pPr>
    </w:p>
    <w:p w14:paraId="5C665FE1" w14:textId="77777777" w:rsidR="00FB404D" w:rsidRDefault="00FB404D">
      <w:pPr>
        <w:rPr>
          <w:rFonts w:asciiTheme="majorHAnsi" w:hAnsiTheme="majorHAnsi"/>
        </w:rPr>
      </w:pPr>
    </w:p>
    <w:p w14:paraId="5E791F5E" w14:textId="77777777" w:rsidR="00FB404D" w:rsidRDefault="00FB404D">
      <w:pPr>
        <w:rPr>
          <w:rFonts w:asciiTheme="majorHAnsi" w:hAnsiTheme="majorHAnsi"/>
        </w:rPr>
      </w:pPr>
    </w:p>
    <w:p w14:paraId="67B530D0" w14:textId="77777777" w:rsidR="00FB404D" w:rsidRDefault="00FB404D">
      <w:pPr>
        <w:rPr>
          <w:rFonts w:asciiTheme="majorHAnsi" w:hAnsiTheme="majorHAnsi"/>
        </w:rPr>
      </w:pPr>
    </w:p>
    <w:p w14:paraId="2D1E8955" w14:textId="77777777" w:rsidR="00FB404D" w:rsidRDefault="00FB404D">
      <w:pPr>
        <w:rPr>
          <w:rFonts w:asciiTheme="majorHAnsi" w:hAnsiTheme="majorHAnsi"/>
        </w:rPr>
      </w:pPr>
    </w:p>
    <w:p w14:paraId="07875FB1" w14:textId="77777777" w:rsidR="00FB404D" w:rsidRDefault="00FB404D">
      <w:pPr>
        <w:rPr>
          <w:rFonts w:asciiTheme="majorHAnsi" w:hAnsiTheme="majorHAnsi"/>
        </w:rPr>
      </w:pPr>
    </w:p>
    <w:p w14:paraId="6F6ECCA9" w14:textId="77777777" w:rsidR="00FB404D" w:rsidRDefault="00FB404D" w:rsidP="00FB404D">
      <w:pPr>
        <w:ind w:left="708" w:hanging="708"/>
        <w:rPr>
          <w:rFonts w:asciiTheme="majorHAnsi" w:hAnsiTheme="majorHAnsi"/>
        </w:rPr>
      </w:pPr>
    </w:p>
    <w:p w14:paraId="08AE548D" w14:textId="77777777" w:rsidR="00FB404D" w:rsidRDefault="00FB404D" w:rsidP="00FB404D">
      <w:pPr>
        <w:ind w:left="708" w:hanging="708"/>
        <w:rPr>
          <w:rFonts w:asciiTheme="majorHAnsi" w:hAnsiTheme="majorHAnsi"/>
        </w:rPr>
      </w:pPr>
    </w:p>
    <w:p w14:paraId="22EE6118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Москва, 2017 г.</w:t>
      </w:r>
    </w:p>
    <w:p w14:paraId="2E0F8E37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5CFAC2C" w14:textId="1094E2FA" w:rsidR="00FB404D" w:rsidRDefault="00175D49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Оглавление:</w:t>
      </w:r>
    </w:p>
    <w:p w14:paraId="197DF7B7" w14:textId="77777777" w:rsidR="00175D49" w:rsidRDefault="00175D49" w:rsidP="00FB404D">
      <w:pPr>
        <w:ind w:left="708" w:hanging="708"/>
        <w:jc w:val="center"/>
        <w:rPr>
          <w:rFonts w:asciiTheme="majorHAnsi" w:hAnsiTheme="majorHAnsi"/>
        </w:rPr>
      </w:pPr>
    </w:p>
    <w:p w14:paraId="18094FC1" w14:textId="77777777" w:rsidR="00E062DB" w:rsidRDefault="00175D49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bookmarkStart w:id="0" w:name="_GoBack"/>
      <w:bookmarkEnd w:id="0"/>
      <w:r w:rsidR="00E062DB">
        <w:rPr>
          <w:noProof/>
        </w:rPr>
        <w:t>1.</w:t>
      </w:r>
      <w:r w:rsidR="00E062DB"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 w:rsidR="00E062DB">
        <w:rPr>
          <w:noProof/>
        </w:rPr>
        <w:t>Введение</w:t>
      </w:r>
      <w:r w:rsidR="00E062DB">
        <w:rPr>
          <w:noProof/>
        </w:rPr>
        <w:tab/>
      </w:r>
      <w:r w:rsidR="00E062DB">
        <w:rPr>
          <w:noProof/>
        </w:rPr>
        <w:fldChar w:fldCharType="begin"/>
      </w:r>
      <w:r w:rsidR="00E062DB">
        <w:rPr>
          <w:noProof/>
        </w:rPr>
        <w:instrText xml:space="preserve"> PAGEREF _Toc477441471 \h </w:instrText>
      </w:r>
      <w:r w:rsidR="00E062DB">
        <w:rPr>
          <w:noProof/>
        </w:rPr>
      </w:r>
      <w:r w:rsidR="00E062DB">
        <w:rPr>
          <w:noProof/>
        </w:rPr>
        <w:fldChar w:fldCharType="separate"/>
      </w:r>
      <w:r w:rsidR="00E062DB">
        <w:rPr>
          <w:noProof/>
        </w:rPr>
        <w:t>3</w:t>
      </w:r>
      <w:r w:rsidR="00E062DB">
        <w:rPr>
          <w:noProof/>
        </w:rPr>
        <w:fldChar w:fldCharType="end"/>
      </w:r>
    </w:p>
    <w:p w14:paraId="38455104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2.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Жизненный цикл программного продукта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641DF3E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3.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Типовой регламент технической поддержки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81E30BB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Условия предоставления услуг технической поддержки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9403C4A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b.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Каналы доставки запросов в техническую поддержку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055D23A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c.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Выполнение запросов на техническую поддержку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76ED1E9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d.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Порядок выполнения работ по оказанию технической поддержки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77C57E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e.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Закрытие запросов в техническую поддержку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AE03131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4.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Контактная информация производителя программного продукта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5CBE40A" w14:textId="77777777" w:rsidR="00E062DB" w:rsidRDefault="00E062DB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Контактная информация службы Технической поддержки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_Toc477441480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B0CE5CF" w14:textId="77777777" w:rsidR="00FB404D" w:rsidRDefault="00175D49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fldChar w:fldCharType="end"/>
      </w:r>
    </w:p>
    <w:p w14:paraId="28D8F72A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68ECC3E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4F3E3306" w14:textId="77777777" w:rsidR="00FB404D" w:rsidRP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038587B" w14:textId="77777777" w:rsidR="00FB404D" w:rsidRPr="00FB404D" w:rsidRDefault="00FB404D">
      <w:pPr>
        <w:rPr>
          <w:rFonts w:asciiTheme="majorHAnsi" w:hAnsiTheme="majorHAnsi"/>
        </w:rPr>
      </w:pPr>
      <w:r w:rsidRPr="00FB404D">
        <w:rPr>
          <w:rFonts w:asciiTheme="majorHAnsi" w:hAnsiTheme="majorHAnsi"/>
        </w:rPr>
        <w:br w:type="page"/>
      </w:r>
    </w:p>
    <w:p w14:paraId="2CA71E5B" w14:textId="77777777" w:rsidR="00A16C7F" w:rsidRDefault="00FB404D" w:rsidP="00A16C7F">
      <w:pPr>
        <w:pStyle w:val="1"/>
        <w:numPr>
          <w:ilvl w:val="0"/>
          <w:numId w:val="2"/>
        </w:numPr>
      </w:pPr>
      <w:bookmarkStart w:id="1" w:name="_Toc477441471"/>
      <w:r w:rsidRPr="00FB404D">
        <w:t>Введение</w:t>
      </w:r>
      <w:bookmarkEnd w:id="1"/>
      <w:r w:rsidRPr="00FB404D">
        <w:t xml:space="preserve"> </w:t>
      </w:r>
    </w:p>
    <w:p w14:paraId="22446154" w14:textId="77777777" w:rsidR="00A16C7F" w:rsidRPr="00A16C7F" w:rsidRDefault="00A16C7F" w:rsidP="00A16C7F"/>
    <w:p w14:paraId="345685F2" w14:textId="77777777" w:rsidR="00FB404D" w:rsidRPr="00FB404D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Настоящее руководство описывает процессы, обеспечивающие поддержание жизненного цикла программного обеспечения «Монитор качества» </w:t>
      </w:r>
    </w:p>
    <w:p w14:paraId="765D51C1" w14:textId="77777777" w:rsidR="00FB404D" w:rsidRPr="00FB404D" w:rsidRDefault="00FB404D" w:rsidP="00FB404D">
      <w:pPr>
        <w:pStyle w:val="1"/>
        <w:numPr>
          <w:ilvl w:val="0"/>
          <w:numId w:val="2"/>
        </w:numPr>
      </w:pPr>
      <w:bookmarkStart w:id="2" w:name="_Toc477441472"/>
      <w:proofErr w:type="spellStart"/>
      <w:r w:rsidRPr="00FB404D">
        <w:t>Жизненныи</w:t>
      </w:r>
      <w:proofErr w:type="spellEnd"/>
      <w:r w:rsidRPr="00FB404D">
        <w:t>̆ цикл программного продукта</w:t>
      </w:r>
      <w:bookmarkEnd w:id="2"/>
      <w:r w:rsidRPr="00FB404D">
        <w:t xml:space="preserve"> </w:t>
      </w:r>
    </w:p>
    <w:p w14:paraId="751645D5" w14:textId="77777777" w:rsidR="00FB404D" w:rsidRPr="00FB404D" w:rsidRDefault="00FB404D" w:rsidP="00FB404D">
      <w:pPr>
        <w:rPr>
          <w:rFonts w:asciiTheme="majorHAnsi" w:hAnsiTheme="majorHAnsi"/>
        </w:rPr>
      </w:pPr>
    </w:p>
    <w:p w14:paraId="7281EBCB" w14:textId="77777777" w:rsidR="00FB404D" w:rsidRPr="00FB404D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>Выпуск продукта осуществляется пос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>редством создания новых релизов</w:t>
      </w: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. Для контроля версий продукта в отношении релизов принят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следующии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>̆ порядок обозначений: «Название продукта»-«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Ма</w:t>
      </w:r>
      <w:r>
        <w:rPr>
          <w:rFonts w:asciiTheme="majorHAnsi" w:hAnsiTheme="majorHAnsi" w:cs="Calibri"/>
          <w:color w:val="000000"/>
          <w:sz w:val="29"/>
          <w:szCs w:val="29"/>
        </w:rPr>
        <w:t>жорныйНомер</w:t>
      </w:r>
      <w:proofErr w:type="spellEnd"/>
      <w:proofErr w:type="gramStart"/>
      <w:r>
        <w:rPr>
          <w:rFonts w:asciiTheme="majorHAnsi" w:hAnsiTheme="majorHAnsi" w:cs="Calibri"/>
          <w:color w:val="000000"/>
          <w:sz w:val="29"/>
          <w:szCs w:val="29"/>
        </w:rPr>
        <w:t>».«</w:t>
      </w:r>
      <w:proofErr w:type="spellStart"/>
      <w:proofErr w:type="gramEnd"/>
      <w:r>
        <w:rPr>
          <w:rFonts w:asciiTheme="majorHAnsi" w:hAnsiTheme="majorHAnsi" w:cs="Calibri"/>
          <w:color w:val="000000"/>
          <w:sz w:val="29"/>
          <w:szCs w:val="29"/>
        </w:rPr>
        <w:t>МинорныйНомер</w:t>
      </w:r>
      <w:proofErr w:type="spellEnd"/>
      <w:r>
        <w:rPr>
          <w:rFonts w:asciiTheme="majorHAnsi" w:hAnsiTheme="majorHAnsi" w:cs="Calibri"/>
          <w:color w:val="000000"/>
          <w:sz w:val="29"/>
          <w:szCs w:val="29"/>
        </w:rPr>
        <w:t>»</w:t>
      </w:r>
      <w:r w:rsidRPr="00FB404D">
        <w:rPr>
          <w:rFonts w:asciiTheme="majorHAnsi" w:hAnsiTheme="majorHAnsi" w:cs="Calibri"/>
          <w:color w:val="000000"/>
          <w:sz w:val="29"/>
          <w:szCs w:val="29"/>
        </w:rPr>
        <w:t>, где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>:</w:t>
      </w:r>
    </w:p>
    <w:p w14:paraId="7D3FCED7" w14:textId="77777777" w:rsidR="00A16C7F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color w:val="000000"/>
          <w:sz w:val="29"/>
          <w:szCs w:val="29"/>
        </w:rPr>
      </w:pP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МажорныйНомер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 –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цифровои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>̆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 xml:space="preserve"> номер </w:t>
      </w:r>
      <w:proofErr w:type="spellStart"/>
      <w:r w:rsidR="00A16C7F">
        <w:rPr>
          <w:rFonts w:asciiTheme="majorHAnsi" w:hAnsiTheme="majorHAnsi" w:cs="Calibri"/>
          <w:color w:val="000000"/>
          <w:sz w:val="29"/>
          <w:szCs w:val="29"/>
        </w:rPr>
        <w:t>мажорнои</w:t>
      </w:r>
      <w:proofErr w:type="spellEnd"/>
      <w:r w:rsidR="00A16C7F">
        <w:rPr>
          <w:rFonts w:asciiTheme="majorHAnsi" w:hAnsiTheme="majorHAnsi" w:cs="Calibri"/>
          <w:color w:val="000000"/>
          <w:sz w:val="29"/>
          <w:szCs w:val="29"/>
        </w:rPr>
        <w:t>̆ версии релиза</w:t>
      </w:r>
    </w:p>
    <w:p w14:paraId="13EF174D" w14:textId="77777777" w:rsidR="00FB404D" w:rsidRPr="00FB404D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МинорныйНомер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 –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цифровои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номер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минорнои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>̆ версии релиза</w:t>
      </w:r>
    </w:p>
    <w:p w14:paraId="565DAEED" w14:textId="77777777" w:rsidR="00A16C7F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color w:val="000000"/>
          <w:sz w:val="29"/>
          <w:szCs w:val="29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>Пример обозначения пр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>одукта с учетом номеров версий</w:t>
      </w: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: </w:t>
      </w:r>
      <w:r w:rsidR="00A16C7F" w:rsidRPr="00A16C7F">
        <w:rPr>
          <w:rFonts w:asciiTheme="majorHAnsi" w:hAnsiTheme="majorHAnsi" w:cs="Calibri"/>
          <w:color w:val="000000"/>
          <w:sz w:val="29"/>
          <w:szCs w:val="29"/>
          <w:u w:val="single"/>
        </w:rPr>
        <w:t>Монитор Качества</w:t>
      </w:r>
      <w:r w:rsidRPr="00A16C7F">
        <w:rPr>
          <w:rFonts w:asciiTheme="majorHAnsi" w:hAnsiTheme="majorHAnsi" w:cs="Calibri"/>
          <w:color w:val="000000"/>
          <w:sz w:val="29"/>
          <w:szCs w:val="29"/>
          <w:u w:val="single"/>
        </w:rPr>
        <w:t xml:space="preserve"> </w:t>
      </w:r>
      <w:r w:rsidR="00A16C7F" w:rsidRPr="00A16C7F">
        <w:rPr>
          <w:rFonts w:asciiTheme="majorHAnsi" w:hAnsiTheme="majorHAnsi" w:cs="Calibri"/>
          <w:color w:val="000000"/>
          <w:sz w:val="29"/>
          <w:szCs w:val="29"/>
          <w:u w:val="single"/>
        </w:rPr>
        <w:t>– 2.4.</w:t>
      </w:r>
    </w:p>
    <w:p w14:paraId="630C9EA6" w14:textId="77777777" w:rsidR="00FB404D" w:rsidRPr="00FB404D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Выпуск релизов осуществляется по следующим правилам (одно из перечисленных): </w:t>
      </w:r>
    </w:p>
    <w:p w14:paraId="762F3D5D" w14:textId="77777777" w:rsidR="00A16C7F" w:rsidRPr="00A16C7F" w:rsidRDefault="00FB404D" w:rsidP="00A16C7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jc w:val="both"/>
        <w:rPr>
          <w:rFonts w:asciiTheme="majorHAnsi" w:hAnsiTheme="majorHAnsi" w:cs="Times"/>
          <w:color w:val="000000"/>
        </w:rPr>
      </w:pPr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Выпуск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новои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мажорнои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 программного продукта </w:t>
      </w:r>
      <w:r w:rsidR="00A16C7F" w:rsidRPr="00A16C7F">
        <w:rPr>
          <w:rFonts w:asciiTheme="majorHAnsi" w:hAnsiTheme="majorHAnsi" w:cs="Calibri"/>
          <w:color w:val="000000"/>
          <w:sz w:val="29"/>
          <w:szCs w:val="29"/>
        </w:rPr>
        <w:t>Монитор Качества происходит в</w:t>
      </w:r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 случаях, когда в продукт вносятся существенные изменения функциональных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возможностеи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или кардинально меняется архитектура и технологии программного продукта по отношению к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предыдущеи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версии. Номер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новои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мажорнои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 релиза увеличивается на 1 относительно предыдущего. </w:t>
      </w:r>
    </w:p>
    <w:p w14:paraId="0D520AAE" w14:textId="77777777" w:rsidR="00FB404D" w:rsidRPr="00A16C7F" w:rsidRDefault="00FB404D" w:rsidP="00A16C7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jc w:val="both"/>
        <w:rPr>
          <w:rFonts w:asciiTheme="majorHAnsi" w:hAnsiTheme="majorHAnsi" w:cs="Times"/>
          <w:color w:val="000000"/>
        </w:rPr>
      </w:pPr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Выпуск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новои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минорнои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 программного продукта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Citeck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EcoS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 СПО происходит в случаях, когда в продукт вносятся не существенные изменения по отношению к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предыдущеи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версии. Номер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новои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минорнои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̆ версии релиза увеличивается на 1 относительно предыдущего. </w:t>
      </w:r>
    </w:p>
    <w:p w14:paraId="1F706C49" w14:textId="77777777" w:rsidR="00FB404D" w:rsidRPr="00FB404D" w:rsidRDefault="00FB404D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С выпуском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новои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версии программного продукта производитель сопровождает её следующими документами: </w:t>
      </w:r>
    </w:p>
    <w:p w14:paraId="36F6F367" w14:textId="77777777" w:rsidR="00FB404D" w:rsidRPr="00FB404D" w:rsidRDefault="00FB404D" w:rsidP="00A16C7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Symbol"/>
          <w:color w:val="000000"/>
          <w:kern w:val="1"/>
          <w:sz w:val="29"/>
          <w:szCs w:val="29"/>
        </w:rPr>
        <w:tab/>
      </w: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Документ,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содержащии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сведения об изменениях и исправлениях в продукте, привносимых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версиеи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r w:rsidRPr="00FB404D">
        <w:rPr>
          <w:rFonts w:ascii="MS Mincho" w:eastAsia="MS Mincho" w:hAnsi="MS Mincho" w:cs="MS Mincho"/>
          <w:color w:val="000000"/>
        </w:rPr>
        <w:t> </w:t>
      </w:r>
    </w:p>
    <w:p w14:paraId="3AE489D0" w14:textId="77777777" w:rsidR="00FB404D" w:rsidRPr="00FB404D" w:rsidRDefault="00FB404D" w:rsidP="00A16C7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hanging="720"/>
        <w:jc w:val="both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Symbol"/>
          <w:color w:val="000000"/>
          <w:kern w:val="1"/>
          <w:sz w:val="29"/>
          <w:szCs w:val="29"/>
        </w:rPr>
        <w:tab/>
      </w: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Инструкция по установке – руководство, описывающее порядок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действии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для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корректнои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установки версии. </w:t>
      </w:r>
      <w:r w:rsidRPr="00FB404D">
        <w:rPr>
          <w:rFonts w:ascii="MS Mincho" w:eastAsia="MS Mincho" w:hAnsi="MS Mincho" w:cs="MS Mincho"/>
          <w:color w:val="000000"/>
        </w:rPr>
        <w:t> </w:t>
      </w:r>
    </w:p>
    <w:p w14:paraId="6C87D0C5" w14:textId="77777777" w:rsidR="00FB404D" w:rsidRPr="00A16C7F" w:rsidRDefault="00FB404D" w:rsidP="00A16C7F">
      <w:pPr>
        <w:pStyle w:val="1"/>
        <w:numPr>
          <w:ilvl w:val="0"/>
          <w:numId w:val="2"/>
        </w:numPr>
      </w:pPr>
      <w:bookmarkStart w:id="3" w:name="_Toc477441473"/>
      <w:proofErr w:type="spellStart"/>
      <w:r w:rsidRPr="00A16C7F">
        <w:t>Типовои</w:t>
      </w:r>
      <w:proofErr w:type="spellEnd"/>
      <w:r w:rsidRPr="00A16C7F">
        <w:t xml:space="preserve">̆ регламент </w:t>
      </w:r>
      <w:proofErr w:type="spellStart"/>
      <w:r w:rsidRPr="00A16C7F">
        <w:t>техническои</w:t>
      </w:r>
      <w:proofErr w:type="spellEnd"/>
      <w:r w:rsidRPr="00A16C7F">
        <w:t>̆ поддержки</w:t>
      </w:r>
      <w:bookmarkEnd w:id="3"/>
      <w:r w:rsidRPr="00A16C7F">
        <w:t xml:space="preserve"> </w:t>
      </w:r>
    </w:p>
    <w:p w14:paraId="3160F819" w14:textId="77777777" w:rsidR="00FB404D" w:rsidRDefault="00FB404D" w:rsidP="00A16C7F">
      <w:pPr>
        <w:pStyle w:val="1"/>
        <w:numPr>
          <w:ilvl w:val="1"/>
          <w:numId w:val="2"/>
        </w:numPr>
      </w:pPr>
      <w:bookmarkStart w:id="4" w:name="_Toc477441474"/>
      <w:r w:rsidRPr="00A16C7F">
        <w:t xml:space="preserve">Условия предоставления услуг </w:t>
      </w:r>
      <w:proofErr w:type="spellStart"/>
      <w:r w:rsidRPr="00A16C7F">
        <w:t>техническои</w:t>
      </w:r>
      <w:proofErr w:type="spellEnd"/>
      <w:r w:rsidRPr="00A16C7F">
        <w:t>̆ поддержки</w:t>
      </w:r>
      <w:bookmarkEnd w:id="4"/>
      <w:r w:rsidRPr="00A16C7F">
        <w:t xml:space="preserve"> </w:t>
      </w:r>
    </w:p>
    <w:p w14:paraId="701AAB86" w14:textId="77777777" w:rsidR="00A16C7F" w:rsidRPr="00A16C7F" w:rsidRDefault="00A16C7F" w:rsidP="00A16C7F"/>
    <w:p w14:paraId="4A3328B8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Услуги поддержки предоставляются только при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действующем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 договоре поддержки в течение указанного календарного периода поддержки. Исполнитель предоставляет услуги в объеме, предусмотренном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приобретеннои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Заказчиком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программои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поддержки или пакетом программ поддержки. </w:t>
      </w:r>
    </w:p>
    <w:p w14:paraId="27ADEA32" w14:textId="77777777" w:rsidR="00FB404D" w:rsidRDefault="00FB404D" w:rsidP="00A16C7F">
      <w:pPr>
        <w:pStyle w:val="1"/>
        <w:numPr>
          <w:ilvl w:val="1"/>
          <w:numId w:val="2"/>
        </w:numPr>
      </w:pPr>
      <w:bookmarkStart w:id="5" w:name="_Toc477441475"/>
      <w:r w:rsidRPr="00A16C7F">
        <w:t>Каналы доставки запросов в техническую поддержку</w:t>
      </w:r>
      <w:bookmarkEnd w:id="5"/>
      <w:r w:rsidRPr="00A16C7F">
        <w:t xml:space="preserve"> </w:t>
      </w:r>
    </w:p>
    <w:p w14:paraId="55FE415A" w14:textId="77777777" w:rsidR="00A16C7F" w:rsidRPr="00A16C7F" w:rsidRDefault="00A16C7F" w:rsidP="00A16C7F"/>
    <w:p w14:paraId="161DF496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Запросы на техническую поддержку осуществляются по электронным каналам через систему регистрации инцидентов, либо адресу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электроннои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почты. </w:t>
      </w:r>
    </w:p>
    <w:p w14:paraId="163CDEA2" w14:textId="77777777" w:rsidR="00FB404D" w:rsidRDefault="00FB404D" w:rsidP="00A16C7F">
      <w:pPr>
        <w:pStyle w:val="1"/>
        <w:numPr>
          <w:ilvl w:val="1"/>
          <w:numId w:val="2"/>
        </w:numPr>
      </w:pPr>
      <w:bookmarkStart w:id="6" w:name="_Toc477441476"/>
      <w:r w:rsidRPr="00A16C7F">
        <w:t>Выполнение запросов на техническую поддержку</w:t>
      </w:r>
      <w:bookmarkEnd w:id="6"/>
      <w:r w:rsidRPr="00A16C7F">
        <w:t xml:space="preserve"> </w:t>
      </w:r>
    </w:p>
    <w:p w14:paraId="3835B2E9" w14:textId="77777777" w:rsidR="00A16C7F" w:rsidRPr="00A16C7F" w:rsidRDefault="00A16C7F" w:rsidP="00A16C7F"/>
    <w:p w14:paraId="7F1D681C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Заказчик при подаче запроса на техническую поддержку придерживается правила – одному запросу соответствует одна проблема, для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четкои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идентификации проблемы при выполнении. В случае возникновения при выполнении запроса новых вопросов или проблем, по ним открываются новые запросы. </w:t>
      </w:r>
    </w:p>
    <w:p w14:paraId="263007B7" w14:textId="77777777" w:rsidR="00A16C7F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Заказчик при подаче Запроса на поддержку указывает следующие сведения: </w:t>
      </w:r>
    </w:p>
    <w:p w14:paraId="1BA4AF9B" w14:textId="77777777" w:rsidR="00A16C7F" w:rsidRPr="00A16C7F" w:rsidRDefault="00FB404D" w:rsidP="00A16C7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A16C7F">
        <w:rPr>
          <w:rFonts w:asciiTheme="majorHAnsi" w:hAnsiTheme="majorHAnsi" w:cs="Calibri"/>
          <w:color w:val="000000"/>
          <w:sz w:val="29"/>
          <w:szCs w:val="29"/>
        </w:rPr>
        <w:t xml:space="preserve">наименование системы, </w:t>
      </w:r>
      <w:proofErr w:type="spellStart"/>
      <w:r w:rsidRPr="00A16C7F">
        <w:rPr>
          <w:rFonts w:asciiTheme="majorHAnsi" w:hAnsiTheme="majorHAnsi" w:cs="Calibri"/>
          <w:color w:val="000000"/>
          <w:sz w:val="29"/>
          <w:szCs w:val="29"/>
        </w:rPr>
        <w:t>требующеи</w:t>
      </w:r>
      <w:proofErr w:type="spellEnd"/>
      <w:r w:rsidRPr="00A16C7F">
        <w:rPr>
          <w:rFonts w:asciiTheme="majorHAnsi" w:hAnsiTheme="majorHAnsi" w:cs="Calibri"/>
          <w:color w:val="000000"/>
          <w:sz w:val="29"/>
          <w:szCs w:val="29"/>
        </w:rPr>
        <w:t>̆ поддержки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>.</w:t>
      </w:r>
    </w:p>
    <w:p w14:paraId="17F182A9" w14:textId="77777777" w:rsidR="00FB404D" w:rsidRPr="00A16C7F" w:rsidRDefault="00FB404D" w:rsidP="00A16C7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A16C7F">
        <w:rPr>
          <w:rFonts w:asciiTheme="majorHAnsi" w:hAnsiTheme="majorHAnsi" w:cs="Calibri"/>
          <w:color w:val="000000"/>
          <w:sz w:val="29"/>
          <w:szCs w:val="29"/>
        </w:rPr>
        <w:t>описание проблемы</w:t>
      </w:r>
      <w:r w:rsidR="00A16C7F">
        <w:rPr>
          <w:rFonts w:asciiTheme="majorHAnsi" w:hAnsiTheme="majorHAnsi" w:cs="Calibri"/>
          <w:color w:val="000000"/>
          <w:sz w:val="29"/>
          <w:szCs w:val="29"/>
        </w:rPr>
        <w:t>.</w:t>
      </w:r>
    </w:p>
    <w:p w14:paraId="272E4D76" w14:textId="77777777" w:rsidR="00FB404D" w:rsidRDefault="00FB404D" w:rsidP="00A16C7F">
      <w:pPr>
        <w:pStyle w:val="1"/>
        <w:numPr>
          <w:ilvl w:val="1"/>
          <w:numId w:val="2"/>
        </w:numPr>
      </w:pPr>
      <w:bookmarkStart w:id="7" w:name="_Toc477441477"/>
      <w:r w:rsidRPr="00A16C7F">
        <w:t xml:space="preserve">Порядок выполнения работ по оказанию </w:t>
      </w:r>
      <w:proofErr w:type="spellStart"/>
      <w:r w:rsidRPr="00A16C7F">
        <w:t>техническои</w:t>
      </w:r>
      <w:proofErr w:type="spellEnd"/>
      <w:r w:rsidRPr="00A16C7F">
        <w:t>̆ поддержки</w:t>
      </w:r>
      <w:bookmarkEnd w:id="7"/>
      <w:r w:rsidRPr="00A16C7F">
        <w:t xml:space="preserve"> </w:t>
      </w:r>
    </w:p>
    <w:p w14:paraId="365E66F5" w14:textId="77777777" w:rsidR="00A16C7F" w:rsidRPr="00A16C7F" w:rsidRDefault="00A16C7F" w:rsidP="00A16C7F"/>
    <w:p w14:paraId="5EA09C98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Каждому Запросу присваивается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уникальныи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регистрационныи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номер в системе регистрации инцидентов и сообщается. Служба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техническои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поддержки сообщает Заказчику номер,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присвоенныи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Запросу при регистрации. </w:t>
      </w:r>
    </w:p>
    <w:p w14:paraId="52A45A05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Зарегистрированныи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Запрос обрабатывается и выполняется согласно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установленнои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системе приоритетов.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Действия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 специалистов Исполнителя по выполнению запроса документируются в системе регистрации инцидентов. </w:t>
      </w:r>
    </w:p>
    <w:p w14:paraId="061E53C0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Запроса. Запрошенная дополнительная информация, рекомендации и ответы Заказчика документируются Исполнителем в системе регистрации инцидентов. </w:t>
      </w:r>
    </w:p>
    <w:p w14:paraId="547FAFBC" w14:textId="695B280C" w:rsidR="00FB404D" w:rsidRDefault="00FB404D" w:rsidP="00A16C7F">
      <w:pPr>
        <w:pStyle w:val="1"/>
        <w:numPr>
          <w:ilvl w:val="1"/>
          <w:numId w:val="2"/>
        </w:numPr>
      </w:pPr>
      <w:r w:rsidRPr="00A16C7F">
        <w:t xml:space="preserve"> </w:t>
      </w:r>
      <w:bookmarkStart w:id="8" w:name="_Toc477441478"/>
      <w:r w:rsidRPr="00A16C7F">
        <w:t>Закрытие запросов в техническую поддержку</w:t>
      </w:r>
      <w:bookmarkEnd w:id="8"/>
      <w:r w:rsidRPr="00A16C7F">
        <w:t xml:space="preserve"> </w:t>
      </w:r>
    </w:p>
    <w:p w14:paraId="4185A7F9" w14:textId="77777777" w:rsidR="00A16C7F" w:rsidRPr="00A16C7F" w:rsidRDefault="00A16C7F" w:rsidP="00A16C7F"/>
    <w:p w14:paraId="3F89CBC8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После доставки Ответа запрос считается Завершенным, и находится в таком состоянии до получения подтверждения от Заказчика о решении инцидента, выполнении иных работ. В случае аргументированного несогласия Заказчика с завершением запроса, выполнение запроса продолжается. </w:t>
      </w:r>
    </w:p>
    <w:p w14:paraId="245B86B5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</w:rPr>
      </w:pP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Завершенныи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запрос переходит в состояние закрытого после получения Исполнителем подтверждения от Заказчика о решении запроса. Закрытие запроса подтверждает представитель Заказчика,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зафиксированныи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 в списке ответственных лиц. В случае отсутствия ответа Заказчика о завершении запроса в течение 14 рабочих </w:t>
      </w:r>
      <w:proofErr w:type="spellStart"/>
      <w:r w:rsidRPr="00FB404D">
        <w:rPr>
          <w:rFonts w:asciiTheme="majorHAnsi" w:hAnsiTheme="majorHAnsi" w:cs="Calibri"/>
          <w:color w:val="000000"/>
          <w:sz w:val="29"/>
          <w:szCs w:val="29"/>
        </w:rPr>
        <w:t>днеи</w:t>
      </w:r>
      <w:proofErr w:type="spellEnd"/>
      <w:r w:rsidRPr="00FB404D">
        <w:rPr>
          <w:rFonts w:asciiTheme="majorHAnsi" w:hAnsiTheme="majorHAnsi" w:cs="Calibri"/>
          <w:color w:val="000000"/>
          <w:sz w:val="29"/>
          <w:szCs w:val="29"/>
        </w:rPr>
        <w:t xml:space="preserve">̆, запрос считается закрытым, Закрытие Запроса может инициировать Заказчик, если надобность в ответе на запрос пропала. </w:t>
      </w:r>
    </w:p>
    <w:p w14:paraId="664B996E" w14:textId="77777777" w:rsidR="00FB404D" w:rsidRPr="00FB404D" w:rsidRDefault="00FB404D" w:rsidP="00FB404D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 w:cs="Times"/>
          <w:color w:val="000000"/>
        </w:rPr>
      </w:pPr>
    </w:p>
    <w:p w14:paraId="7D49FC54" w14:textId="77777777" w:rsidR="00FB404D" w:rsidRDefault="00FB404D" w:rsidP="00A16C7F">
      <w:pPr>
        <w:pStyle w:val="1"/>
        <w:numPr>
          <w:ilvl w:val="0"/>
          <w:numId w:val="2"/>
        </w:numPr>
      </w:pPr>
      <w:bookmarkStart w:id="9" w:name="_Toc477441479"/>
      <w:r w:rsidRPr="00A16C7F">
        <w:t>Контактная информация производителя программного продукта</w:t>
      </w:r>
      <w:bookmarkEnd w:id="9"/>
      <w:r w:rsidRPr="00A16C7F">
        <w:t xml:space="preserve"> </w:t>
      </w:r>
    </w:p>
    <w:p w14:paraId="1A622DE3" w14:textId="77777777" w:rsidR="00A16C7F" w:rsidRDefault="00A16C7F" w:rsidP="00A16C7F"/>
    <w:p w14:paraId="7DF3558F" w14:textId="2B5AEBA2" w:rsidR="00175D49" w:rsidRDefault="00175D49" w:rsidP="00175D49">
      <w:pPr>
        <w:rPr>
          <w:rFonts w:asciiTheme="majorHAnsi" w:hAnsiTheme="majorHAnsi" w:cs="Calibri"/>
          <w:color w:val="000000"/>
          <w:sz w:val="29"/>
          <w:szCs w:val="29"/>
        </w:rPr>
      </w:pPr>
      <w:r>
        <w:rPr>
          <w:rFonts w:asciiTheme="majorHAnsi" w:hAnsiTheme="majorHAnsi" w:cs="Calibri"/>
          <w:color w:val="000000"/>
          <w:sz w:val="29"/>
          <w:szCs w:val="29"/>
        </w:rPr>
        <w:t>ООО «КОМС»</w:t>
      </w:r>
    </w:p>
    <w:p w14:paraId="62A92127" w14:textId="77777777" w:rsidR="00175D49" w:rsidRPr="00175D49" w:rsidRDefault="00175D49" w:rsidP="00175D49">
      <w:pPr>
        <w:rPr>
          <w:rFonts w:asciiTheme="majorHAnsi" w:hAnsiTheme="majorHAnsi" w:cs="Calibri"/>
          <w:color w:val="000000"/>
          <w:sz w:val="29"/>
          <w:szCs w:val="29"/>
        </w:rPr>
      </w:pPr>
      <w:r w:rsidRPr="00175D49">
        <w:rPr>
          <w:rFonts w:asciiTheme="majorHAnsi" w:hAnsiTheme="majorHAnsi" w:cs="Calibri"/>
          <w:color w:val="000000"/>
          <w:sz w:val="29"/>
          <w:szCs w:val="29"/>
        </w:rPr>
        <w:t>Юридический адрес: 125362, г. Москва, ул. Лодочная, д.10, стр.4, помещение II</w:t>
      </w:r>
    </w:p>
    <w:p w14:paraId="0D69C15E" w14:textId="77777777" w:rsidR="00175D49" w:rsidRPr="00175D49" w:rsidRDefault="00175D49" w:rsidP="00175D49">
      <w:pPr>
        <w:rPr>
          <w:rFonts w:asciiTheme="majorHAnsi" w:hAnsiTheme="majorHAnsi" w:cs="Calibri"/>
          <w:color w:val="000000"/>
          <w:sz w:val="29"/>
          <w:szCs w:val="29"/>
        </w:rPr>
      </w:pPr>
      <w:r w:rsidRPr="00175D49">
        <w:rPr>
          <w:rFonts w:asciiTheme="majorHAnsi" w:hAnsiTheme="majorHAnsi" w:cs="Calibri"/>
          <w:color w:val="000000"/>
          <w:sz w:val="29"/>
          <w:szCs w:val="29"/>
        </w:rPr>
        <w:t>Почтовый адрес: 125362, г. Москва, ул. Лодочная, д.10, стр.4, помещение II</w:t>
      </w:r>
    </w:p>
    <w:p w14:paraId="2D2BF1B7" w14:textId="77777777" w:rsidR="00175D49" w:rsidRPr="00175D49" w:rsidRDefault="00175D49" w:rsidP="00175D49">
      <w:pPr>
        <w:rPr>
          <w:rFonts w:asciiTheme="majorHAnsi" w:hAnsiTheme="majorHAnsi" w:cs="Calibri"/>
          <w:color w:val="000000"/>
          <w:sz w:val="29"/>
          <w:szCs w:val="29"/>
        </w:rPr>
      </w:pPr>
      <w:r w:rsidRPr="00175D49">
        <w:rPr>
          <w:rFonts w:asciiTheme="majorHAnsi" w:hAnsiTheme="majorHAnsi" w:cs="Calibri"/>
          <w:color w:val="000000"/>
          <w:sz w:val="29"/>
          <w:szCs w:val="29"/>
        </w:rPr>
        <w:t xml:space="preserve">ИНН: 7733232005 / </w:t>
      </w:r>
      <w:proofErr w:type="gramStart"/>
      <w:r w:rsidRPr="00175D49">
        <w:rPr>
          <w:rFonts w:asciiTheme="majorHAnsi" w:hAnsiTheme="majorHAnsi" w:cs="Calibri"/>
          <w:color w:val="000000"/>
          <w:sz w:val="29"/>
          <w:szCs w:val="29"/>
        </w:rPr>
        <w:t>КПП:  773301001</w:t>
      </w:r>
      <w:proofErr w:type="gramEnd"/>
    </w:p>
    <w:p w14:paraId="09E4C6A9" w14:textId="77777777" w:rsidR="00175D49" w:rsidRDefault="00175D49" w:rsidP="00175D49">
      <w:pPr>
        <w:rPr>
          <w:rFonts w:asciiTheme="majorHAnsi" w:hAnsiTheme="majorHAnsi" w:cs="Calibri"/>
          <w:color w:val="000000"/>
          <w:sz w:val="29"/>
          <w:szCs w:val="29"/>
        </w:rPr>
      </w:pPr>
      <w:r w:rsidRPr="00175D49">
        <w:rPr>
          <w:rFonts w:asciiTheme="majorHAnsi" w:hAnsiTheme="majorHAnsi" w:cs="Calibri"/>
          <w:color w:val="000000"/>
          <w:sz w:val="29"/>
          <w:szCs w:val="29"/>
        </w:rPr>
        <w:t>ОГРН: 1157746378932 / ОКПО: 04856413</w:t>
      </w:r>
    </w:p>
    <w:p w14:paraId="6A5E4D2B" w14:textId="05AFE211" w:rsidR="0089677E" w:rsidRPr="0089677E" w:rsidRDefault="0089677E" w:rsidP="00175D49">
      <w:pPr>
        <w:rPr>
          <w:rFonts w:asciiTheme="majorHAnsi" w:hAnsiTheme="majorHAnsi" w:cs="Calibri"/>
          <w:color w:val="000000"/>
          <w:sz w:val="29"/>
          <w:szCs w:val="29"/>
          <w:lang w:val="en-US"/>
        </w:rPr>
      </w:pPr>
      <w:r>
        <w:rPr>
          <w:rFonts w:asciiTheme="majorHAnsi" w:hAnsiTheme="majorHAnsi" w:cs="Calibri"/>
          <w:color w:val="000000"/>
          <w:sz w:val="29"/>
          <w:szCs w:val="29"/>
          <w:lang w:val="en-US"/>
        </w:rPr>
        <w:t>E-mail</w:t>
      </w:r>
      <w:r>
        <w:rPr>
          <w:rFonts w:asciiTheme="majorHAnsi" w:hAnsiTheme="majorHAnsi" w:cs="Calibri"/>
          <w:color w:val="000000"/>
          <w:sz w:val="29"/>
          <w:szCs w:val="29"/>
        </w:rPr>
        <w:t>:</w:t>
      </w:r>
      <w:r>
        <w:rPr>
          <w:rFonts w:asciiTheme="majorHAnsi" w:hAnsiTheme="majorHAnsi" w:cs="Calibri"/>
          <w:color w:val="000000"/>
          <w:sz w:val="29"/>
          <w:szCs w:val="29"/>
          <w:lang w:val="en-US"/>
        </w:rPr>
        <w:t xml:space="preserve"> </w:t>
      </w:r>
      <w:r w:rsidRPr="0089677E">
        <w:rPr>
          <w:rFonts w:asciiTheme="majorHAnsi" w:hAnsiTheme="majorHAnsi" w:cs="Calibri"/>
          <w:color w:val="000000"/>
          <w:sz w:val="29"/>
          <w:szCs w:val="29"/>
          <w:lang w:val="en-US"/>
        </w:rPr>
        <w:t>info@co-ms.ru</w:t>
      </w:r>
    </w:p>
    <w:p w14:paraId="65B7CCAF" w14:textId="77777777" w:rsidR="00175D49" w:rsidRPr="00A16C7F" w:rsidRDefault="00175D49" w:rsidP="00A16C7F"/>
    <w:p w14:paraId="43870B3F" w14:textId="77777777" w:rsidR="00FB404D" w:rsidRDefault="00FB404D" w:rsidP="00A16C7F">
      <w:pPr>
        <w:pStyle w:val="1"/>
        <w:numPr>
          <w:ilvl w:val="1"/>
          <w:numId w:val="2"/>
        </w:numPr>
      </w:pPr>
      <w:bookmarkStart w:id="10" w:name="_Toc477441480"/>
      <w:r w:rsidRPr="00A16C7F">
        <w:t xml:space="preserve">Контактная информация службы </w:t>
      </w:r>
      <w:proofErr w:type="spellStart"/>
      <w:r w:rsidRPr="00A16C7F">
        <w:t>Техническои</w:t>
      </w:r>
      <w:proofErr w:type="spellEnd"/>
      <w:r w:rsidRPr="00A16C7F">
        <w:t>̆ поддержки</w:t>
      </w:r>
      <w:bookmarkEnd w:id="10"/>
      <w:r w:rsidRPr="00A16C7F">
        <w:t xml:space="preserve"> </w:t>
      </w:r>
    </w:p>
    <w:p w14:paraId="018D2BAA" w14:textId="77777777" w:rsidR="0089677E" w:rsidRDefault="0089677E" w:rsidP="0089677E"/>
    <w:p w14:paraId="256C2BAD" w14:textId="77777777" w:rsidR="0089677E" w:rsidRPr="0089677E" w:rsidRDefault="0089677E" w:rsidP="0089677E">
      <w:pPr>
        <w:rPr>
          <w:rFonts w:asciiTheme="majorHAnsi" w:hAnsiTheme="majorHAnsi" w:cs="Calibri"/>
          <w:color w:val="000000"/>
          <w:sz w:val="29"/>
          <w:szCs w:val="29"/>
          <w:lang w:val="en-US"/>
        </w:rPr>
      </w:pPr>
      <w:r>
        <w:rPr>
          <w:rFonts w:asciiTheme="majorHAnsi" w:hAnsiTheme="majorHAnsi" w:cs="Calibri"/>
          <w:color w:val="000000"/>
          <w:sz w:val="29"/>
          <w:szCs w:val="29"/>
          <w:lang w:val="en-US"/>
        </w:rPr>
        <w:t>E-mail</w:t>
      </w:r>
      <w:r>
        <w:rPr>
          <w:rFonts w:asciiTheme="majorHAnsi" w:hAnsiTheme="majorHAnsi" w:cs="Calibri"/>
          <w:color w:val="000000"/>
          <w:sz w:val="29"/>
          <w:szCs w:val="29"/>
        </w:rPr>
        <w:t>:</w:t>
      </w:r>
      <w:r>
        <w:rPr>
          <w:rFonts w:asciiTheme="majorHAnsi" w:hAnsiTheme="majorHAnsi" w:cs="Calibri"/>
          <w:color w:val="000000"/>
          <w:sz w:val="29"/>
          <w:szCs w:val="29"/>
          <w:lang w:val="en-US"/>
        </w:rPr>
        <w:t xml:space="preserve"> </w:t>
      </w:r>
      <w:r w:rsidRPr="0089677E">
        <w:rPr>
          <w:rFonts w:asciiTheme="majorHAnsi" w:hAnsiTheme="majorHAnsi" w:cs="Calibri"/>
          <w:color w:val="000000"/>
          <w:sz w:val="29"/>
          <w:szCs w:val="29"/>
          <w:lang w:val="en-US"/>
        </w:rPr>
        <w:t>info@co-ms.ru</w:t>
      </w:r>
    </w:p>
    <w:p w14:paraId="1FD0B994" w14:textId="77777777" w:rsidR="0089677E" w:rsidRPr="0089677E" w:rsidRDefault="0089677E" w:rsidP="0089677E">
      <w:pPr>
        <w:rPr>
          <w:lang w:val="en-US"/>
        </w:rPr>
      </w:pPr>
    </w:p>
    <w:p w14:paraId="2EC7490E" w14:textId="77777777" w:rsidR="00A16C7F" w:rsidRPr="00A16C7F" w:rsidRDefault="00A16C7F" w:rsidP="00A16C7F"/>
    <w:p w14:paraId="2E4A5768" w14:textId="77777777" w:rsidR="00FB404D" w:rsidRPr="00FB404D" w:rsidRDefault="00FB404D">
      <w:pPr>
        <w:rPr>
          <w:rFonts w:asciiTheme="majorHAnsi" w:hAnsiTheme="majorHAnsi"/>
        </w:rPr>
      </w:pPr>
    </w:p>
    <w:sectPr w:rsidR="00FB404D" w:rsidRPr="00FB404D" w:rsidSect="00795673">
      <w:head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BB829" w14:textId="77777777" w:rsidR="00DF1911" w:rsidRDefault="00DF1911" w:rsidP="00FB404D">
      <w:r>
        <w:separator/>
      </w:r>
    </w:p>
  </w:endnote>
  <w:endnote w:type="continuationSeparator" w:id="0">
    <w:p w14:paraId="064144F9" w14:textId="77777777" w:rsidR="00DF1911" w:rsidRDefault="00DF1911" w:rsidP="00FB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3E14E" w14:textId="77777777" w:rsidR="00DF1911" w:rsidRDefault="00DF1911" w:rsidP="00FB404D">
      <w:r>
        <w:separator/>
      </w:r>
    </w:p>
  </w:footnote>
  <w:footnote w:type="continuationSeparator" w:id="0">
    <w:p w14:paraId="44B751C4" w14:textId="77777777" w:rsidR="00DF1911" w:rsidRDefault="00DF1911" w:rsidP="00FB40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FBCB" w14:textId="77777777" w:rsidR="00FB404D" w:rsidRDefault="00FB404D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D2846BC" wp14:editId="1D2E6993">
          <wp:simplePos x="0" y="0"/>
          <wp:positionH relativeFrom="column">
            <wp:posOffset>4810125</wp:posOffset>
          </wp:positionH>
          <wp:positionV relativeFrom="paragraph">
            <wp:posOffset>-215900</wp:posOffset>
          </wp:positionV>
          <wp:extent cx="1357670" cy="459740"/>
          <wp:effectExtent l="0" t="0" r="0" b="0"/>
          <wp:wrapNone/>
          <wp:docPr id="3" name="Рисунок 3" descr="/Users/Maslov/Downloads/logo2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slov/Downloads/logo2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673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894E6A0" wp14:editId="236040C6">
          <wp:simplePos x="0" y="0"/>
          <wp:positionH relativeFrom="column">
            <wp:posOffset>13335</wp:posOffset>
          </wp:positionH>
          <wp:positionV relativeFrom="paragraph">
            <wp:posOffset>-104140</wp:posOffset>
          </wp:positionV>
          <wp:extent cx="1144800" cy="2556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462D6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FB5843"/>
    <w:multiLevelType w:val="hybridMultilevel"/>
    <w:tmpl w:val="BD84117C"/>
    <w:lvl w:ilvl="0" w:tplc="7ECE302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0DDC"/>
    <w:multiLevelType w:val="hybridMultilevel"/>
    <w:tmpl w:val="DAF46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44A9E"/>
    <w:multiLevelType w:val="hybridMultilevel"/>
    <w:tmpl w:val="B5A287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73"/>
    <w:rsid w:val="00175D49"/>
    <w:rsid w:val="00263EA8"/>
    <w:rsid w:val="0032727A"/>
    <w:rsid w:val="003F7266"/>
    <w:rsid w:val="00724F6D"/>
    <w:rsid w:val="00795673"/>
    <w:rsid w:val="0089677E"/>
    <w:rsid w:val="00983317"/>
    <w:rsid w:val="00A16C7F"/>
    <w:rsid w:val="00B847CE"/>
    <w:rsid w:val="00C04BEA"/>
    <w:rsid w:val="00DF1911"/>
    <w:rsid w:val="00E062DB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49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04D"/>
  </w:style>
  <w:style w:type="paragraph" w:styleId="a5">
    <w:name w:val="footer"/>
    <w:basedOn w:val="a"/>
    <w:link w:val="a6"/>
    <w:uiPriority w:val="99"/>
    <w:unhideWhenUsed/>
    <w:rsid w:val="00FB40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04D"/>
  </w:style>
  <w:style w:type="character" w:customStyle="1" w:styleId="10">
    <w:name w:val="Заголовок 1 Знак"/>
    <w:basedOn w:val="a0"/>
    <w:link w:val="1"/>
    <w:uiPriority w:val="9"/>
    <w:rsid w:val="00FB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A16C7F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175D49"/>
    <w:pPr>
      <w:spacing w:before="120"/>
    </w:pPr>
    <w:rPr>
      <w:rFonts w:asciiTheme="majorHAnsi" w:hAnsiTheme="majorHAnsi"/>
      <w:b/>
      <w:bCs/>
      <w:color w:val="548DD4"/>
    </w:rPr>
  </w:style>
  <w:style w:type="paragraph" w:styleId="2">
    <w:name w:val="toc 2"/>
    <w:basedOn w:val="a"/>
    <w:next w:val="a"/>
    <w:autoRedefine/>
    <w:uiPriority w:val="39"/>
    <w:unhideWhenUsed/>
    <w:rsid w:val="00175D49"/>
    <w:rPr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75D49"/>
    <w:pPr>
      <w:ind w:left="240"/>
    </w:pPr>
    <w:rPr>
      <w:i/>
      <w:iCs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a8">
    <w:name w:val="Document Map"/>
    <w:basedOn w:val="a"/>
    <w:link w:val="a9"/>
    <w:uiPriority w:val="99"/>
    <w:semiHidden/>
    <w:unhideWhenUsed/>
    <w:rsid w:val="00E062DB"/>
    <w:rPr>
      <w:rFonts w:ascii="Times New Roman" w:hAnsi="Times New Roman" w:cs="Times New Roman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062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826</Words>
  <Characters>4710</Characters>
  <Application>Microsoft Macintosh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Введение </vt:lpstr>
      <vt:lpstr>Жизненный цикл программного продукта </vt:lpstr>
    </vt:vector>
  </TitlesOfParts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Гудин Михаил Игоревич</cp:lastModifiedBy>
  <cp:revision>4</cp:revision>
  <dcterms:created xsi:type="dcterms:W3CDTF">2017-03-15T06:57:00Z</dcterms:created>
  <dcterms:modified xsi:type="dcterms:W3CDTF">2017-03-16T12:29:00Z</dcterms:modified>
</cp:coreProperties>
</file>